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FF0" w:rsidRPr="00485780" w:rsidRDefault="00996FF0" w:rsidP="00996FF0">
      <w:pPr>
        <w:spacing w:line="240" w:lineRule="auto"/>
        <w:jc w:val="center"/>
        <w:rPr>
          <w:rFonts w:ascii="Sylfaen" w:hAnsi="Sylfaen" w:cs="Arial"/>
          <w:b/>
          <w:bCs/>
          <w:shd w:val="clear" w:color="auto" w:fill="FFFFFF"/>
        </w:rPr>
      </w:pPr>
      <w:r w:rsidRPr="00485780">
        <w:rPr>
          <w:rFonts w:ascii="Sylfaen" w:hAnsi="Sylfaen"/>
          <w:b/>
        </w:rPr>
        <w:t xml:space="preserve">Talking points for meeting with the </w:t>
      </w:r>
      <w:r w:rsidRPr="00485780">
        <w:rPr>
          <w:rFonts w:ascii="Sylfaen" w:hAnsi="Sylfaen" w:cs="Arial"/>
          <w:b/>
          <w:bCs/>
          <w:shd w:val="clear" w:color="auto" w:fill="FFFFFF"/>
        </w:rPr>
        <w:t>European Commissioner for Health and Food Safety</w:t>
      </w:r>
    </w:p>
    <w:p w:rsidR="00996FF0" w:rsidRPr="00485780" w:rsidRDefault="00996FF0" w:rsidP="00996FF0">
      <w:pPr>
        <w:spacing w:line="240" w:lineRule="auto"/>
        <w:jc w:val="center"/>
        <w:rPr>
          <w:rFonts w:ascii="Sylfaen" w:hAnsi="Sylfaen"/>
          <w:b/>
        </w:rPr>
      </w:pPr>
      <w:r w:rsidRPr="00485780">
        <w:rPr>
          <w:rFonts w:ascii="Sylfaen" w:hAnsi="Sylfaen" w:cs="Arial"/>
          <w:b/>
          <w:bCs/>
          <w:shd w:val="clear" w:color="auto" w:fill="FFFFFF"/>
        </w:rPr>
        <w:t>19.03.2021</w:t>
      </w:r>
    </w:p>
    <w:p w:rsidR="00FA79AC" w:rsidRPr="00485780" w:rsidRDefault="00FA79AC" w:rsidP="00FA79AC">
      <w:pPr>
        <w:spacing w:line="240" w:lineRule="auto"/>
        <w:jc w:val="both"/>
        <w:rPr>
          <w:rFonts w:ascii="Sylfaen" w:hAnsi="Sylfaen"/>
          <w:b/>
        </w:rPr>
      </w:pPr>
      <w:r w:rsidRPr="00485780">
        <w:rPr>
          <w:rFonts w:ascii="Sylfaen" w:hAnsi="Sylfaen"/>
          <w:b/>
        </w:rPr>
        <w:t>Introduction</w:t>
      </w:r>
    </w:p>
    <w:p w:rsidR="00763EED" w:rsidRDefault="008B4F70" w:rsidP="00FA79AC">
      <w:pPr>
        <w:spacing w:line="240" w:lineRule="auto"/>
        <w:jc w:val="both"/>
        <w:rPr>
          <w:rFonts w:ascii="Sylfaen" w:hAnsi="Sylfaen"/>
        </w:rPr>
      </w:pPr>
      <w:r w:rsidRPr="00485780">
        <w:rPr>
          <w:rFonts w:ascii="Sylfaen" w:hAnsi="Sylfaen"/>
        </w:rPr>
        <w:t>National Center for Disease Contro</w:t>
      </w:r>
      <w:r w:rsidR="00763EED">
        <w:rPr>
          <w:rFonts w:ascii="Sylfaen" w:hAnsi="Sylfaen"/>
        </w:rPr>
        <w:t xml:space="preserve">l and Public Health (NCDC) is a </w:t>
      </w:r>
      <w:r w:rsidR="00FA79AC" w:rsidRPr="00485780">
        <w:rPr>
          <w:rFonts w:ascii="Sylfaen" w:hAnsi="Sylfaen"/>
        </w:rPr>
        <w:t xml:space="preserve">responsible </w:t>
      </w:r>
      <w:r w:rsidR="00763EED">
        <w:rPr>
          <w:rFonts w:ascii="Sylfaen" w:hAnsi="Sylfaen"/>
        </w:rPr>
        <w:t>institution on public health and public health emergencies.</w:t>
      </w:r>
    </w:p>
    <w:p w:rsidR="008B4F70" w:rsidRPr="00485780" w:rsidRDefault="008B4F70" w:rsidP="00FA79AC">
      <w:pPr>
        <w:spacing w:line="240" w:lineRule="auto"/>
        <w:jc w:val="both"/>
        <w:rPr>
          <w:rFonts w:ascii="Sylfaen" w:hAnsi="Sylfaen"/>
        </w:rPr>
      </w:pPr>
      <w:r w:rsidRPr="00485780">
        <w:rPr>
          <w:rFonts w:ascii="Sylfaen" w:hAnsi="Sylfaen"/>
        </w:rPr>
        <w:t xml:space="preserve">Besides, public health </w:t>
      </w:r>
      <w:r w:rsidR="00FA79AC" w:rsidRPr="00485780">
        <w:rPr>
          <w:rFonts w:ascii="Sylfaen" w:hAnsi="Sylfaen"/>
        </w:rPr>
        <w:t>is</w:t>
      </w:r>
      <w:r w:rsidRPr="00485780">
        <w:rPr>
          <w:rFonts w:ascii="Sylfaen" w:hAnsi="Sylfaen"/>
        </w:rPr>
        <w:t xml:space="preserve"> integrated into different sectors:</w:t>
      </w:r>
    </w:p>
    <w:p w:rsidR="00354D0F" w:rsidRPr="00763EED" w:rsidRDefault="00485780" w:rsidP="00763EE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</w:rPr>
      </w:pPr>
      <w:r w:rsidRPr="00763EED">
        <w:rPr>
          <w:rFonts w:ascii="Sylfaen" w:hAnsi="Sylfaen"/>
        </w:rPr>
        <w:t>Animal health and Food Safety</w:t>
      </w:r>
      <w:r w:rsidRPr="00763EED">
        <w:rPr>
          <w:rFonts w:ascii="Sylfaen" w:hAnsi="Sylfaen"/>
          <w:u w:val="single"/>
        </w:rPr>
        <w:t xml:space="preserve"> </w:t>
      </w:r>
      <w:r w:rsidRPr="00763EED">
        <w:rPr>
          <w:rFonts w:ascii="Sylfaen" w:hAnsi="Sylfaen"/>
        </w:rPr>
        <w:t xml:space="preserve">- Ministry of Environmental Protection and Agriculture; </w:t>
      </w:r>
    </w:p>
    <w:p w:rsidR="00354D0F" w:rsidRPr="00763EED" w:rsidRDefault="00485780" w:rsidP="00763EE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</w:rPr>
      </w:pPr>
      <w:r w:rsidRPr="00763EED">
        <w:rPr>
          <w:rFonts w:ascii="Sylfaen" w:hAnsi="Sylfaen"/>
        </w:rPr>
        <w:t>Epidemiological control at Points of Entries</w:t>
      </w:r>
      <w:r w:rsidRPr="00763EED">
        <w:rPr>
          <w:rFonts w:ascii="Sylfaen" w:hAnsi="Sylfaen"/>
          <w:u w:val="single"/>
        </w:rPr>
        <w:t xml:space="preserve"> </w:t>
      </w:r>
      <w:r w:rsidRPr="00763EED">
        <w:rPr>
          <w:rFonts w:ascii="Sylfaen" w:hAnsi="Sylfaen"/>
        </w:rPr>
        <w:t>- Revenue Service, Ministry of Finance;</w:t>
      </w:r>
    </w:p>
    <w:p w:rsidR="00354D0F" w:rsidRPr="00763EED" w:rsidRDefault="00485780" w:rsidP="00763EE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</w:rPr>
      </w:pPr>
      <w:r w:rsidRPr="00763EED">
        <w:rPr>
          <w:rFonts w:ascii="Sylfaen" w:hAnsi="Sylfaen"/>
        </w:rPr>
        <w:t>Public health functions</w:t>
      </w:r>
      <w:r w:rsidRPr="00763EED">
        <w:rPr>
          <w:rFonts w:ascii="Sylfaen" w:hAnsi="Sylfaen"/>
          <w:u w:val="single"/>
        </w:rPr>
        <w:t xml:space="preserve"> </w:t>
      </w:r>
      <w:r w:rsidRPr="00763EED">
        <w:rPr>
          <w:rFonts w:ascii="Sylfaen" w:hAnsi="Sylfaen"/>
        </w:rPr>
        <w:t>- Local municipalities (public health centers);</w:t>
      </w:r>
    </w:p>
    <w:p w:rsidR="00763EED" w:rsidRDefault="00763EED" w:rsidP="00FA79AC">
      <w:pPr>
        <w:spacing w:line="240" w:lineRule="auto"/>
        <w:jc w:val="both"/>
        <w:rPr>
          <w:rFonts w:ascii="Sylfaen" w:hAnsi="Sylfaen"/>
          <w:b/>
        </w:rPr>
      </w:pPr>
    </w:p>
    <w:p w:rsidR="00996FF0" w:rsidRPr="00485780" w:rsidRDefault="00996FF0" w:rsidP="00FA79AC">
      <w:pPr>
        <w:spacing w:line="240" w:lineRule="auto"/>
        <w:jc w:val="both"/>
        <w:rPr>
          <w:rFonts w:ascii="Sylfaen" w:hAnsi="Sylfaen"/>
          <w:b/>
        </w:rPr>
      </w:pPr>
      <w:r w:rsidRPr="00485780">
        <w:rPr>
          <w:rFonts w:ascii="Sylfaen" w:hAnsi="Sylfaen"/>
          <w:b/>
        </w:rPr>
        <w:t xml:space="preserve">Cooperation with the </w:t>
      </w:r>
      <w:r w:rsidRPr="00485780">
        <w:rPr>
          <w:rFonts w:ascii="Sylfaen" w:hAnsi="Sylfaen"/>
          <w:b/>
          <w:lang w:val="ka-GE"/>
        </w:rPr>
        <w:t>European Centre for Disease Prevention and Contro</w:t>
      </w:r>
      <w:r w:rsidRPr="00485780">
        <w:rPr>
          <w:rFonts w:ascii="Sylfaen" w:hAnsi="Sylfaen"/>
          <w:b/>
        </w:rPr>
        <w:t xml:space="preserve">l </w:t>
      </w:r>
    </w:p>
    <w:p w:rsidR="008B4F70" w:rsidRPr="00485780" w:rsidRDefault="008B4F70" w:rsidP="00FA79AC">
      <w:pPr>
        <w:spacing w:line="240" w:lineRule="auto"/>
        <w:jc w:val="both"/>
        <w:rPr>
          <w:rFonts w:ascii="Sylfaen" w:hAnsi="Sylfaen"/>
          <w:b/>
        </w:rPr>
      </w:pPr>
      <w:r w:rsidRPr="00485780">
        <w:rPr>
          <w:rFonts w:ascii="Sylfaen" w:hAnsi="Sylfaen"/>
        </w:rPr>
        <w:t xml:space="preserve">Georgia is </w:t>
      </w:r>
      <w:r w:rsidR="00996FF0" w:rsidRPr="00485780">
        <w:rPr>
          <w:rFonts w:ascii="Sylfaen" w:hAnsi="Sylfaen"/>
        </w:rPr>
        <w:t xml:space="preserve">actively </w:t>
      </w:r>
      <w:r w:rsidRPr="00485780">
        <w:rPr>
          <w:rFonts w:ascii="Sylfaen" w:hAnsi="Sylfaen"/>
        </w:rPr>
        <w:t xml:space="preserve">cooperating with </w:t>
      </w:r>
      <w:r w:rsidR="00485780" w:rsidRPr="00485780">
        <w:rPr>
          <w:rFonts w:ascii="Sylfaen" w:hAnsi="Sylfaen"/>
          <w:lang w:val="ka-GE"/>
        </w:rPr>
        <w:t>European Centre for Disease Prevention and Contro</w:t>
      </w:r>
      <w:r w:rsidR="00485780" w:rsidRPr="00485780">
        <w:rPr>
          <w:rFonts w:ascii="Sylfaen" w:hAnsi="Sylfaen"/>
        </w:rPr>
        <w:t>l (ECDC)</w:t>
      </w:r>
      <w:r w:rsidRPr="00485780">
        <w:rPr>
          <w:rFonts w:ascii="Sylfaen" w:hAnsi="Sylfaen"/>
          <w:lang w:val="ka-GE"/>
        </w:rPr>
        <w:t xml:space="preserve"> </w:t>
      </w:r>
      <w:r w:rsidR="00996FF0" w:rsidRPr="00485780">
        <w:rPr>
          <w:rFonts w:ascii="Sylfaen" w:hAnsi="Sylfaen"/>
        </w:rPr>
        <w:t xml:space="preserve">- </w:t>
      </w:r>
      <w:r w:rsidR="00485780" w:rsidRPr="00485780">
        <w:rPr>
          <w:rFonts w:ascii="Sylfaen" w:hAnsi="Sylfaen"/>
        </w:rPr>
        <w:t xml:space="preserve">an agency of the EU, </w:t>
      </w:r>
      <w:r w:rsidR="00485780" w:rsidRPr="00485780">
        <w:rPr>
          <w:rFonts w:ascii="Sylfaen" w:hAnsi="Sylfaen"/>
          <w:shd w:val="clear" w:color="auto" w:fill="FFFFFF"/>
        </w:rPr>
        <w:t xml:space="preserve">aimed at strengthening Europe's </w:t>
      </w:r>
      <w:r w:rsidR="00763EED" w:rsidRPr="00485780">
        <w:rPr>
          <w:rFonts w:ascii="Sylfaen" w:hAnsi="Sylfaen"/>
          <w:shd w:val="clear" w:color="auto" w:fill="FFFFFF"/>
        </w:rPr>
        <w:t>defenses</w:t>
      </w:r>
      <w:r w:rsidR="00485780" w:rsidRPr="00485780">
        <w:rPr>
          <w:rFonts w:ascii="Sylfaen" w:hAnsi="Sylfaen"/>
          <w:shd w:val="clear" w:color="auto" w:fill="FFFFFF"/>
        </w:rPr>
        <w:t xml:space="preserve"> against infectious diseases, </w:t>
      </w:r>
      <w:r w:rsidRPr="00485780">
        <w:rPr>
          <w:rFonts w:ascii="Sylfaen" w:hAnsi="Sylfaen"/>
        </w:rPr>
        <w:t>from 2014 and since then has participated in the many events organized by the ECDC. Georgia is involved in several different electronic platforms</w:t>
      </w:r>
      <w:r w:rsidR="00E32731" w:rsidRPr="00485780">
        <w:rPr>
          <w:rFonts w:ascii="Sylfaen" w:hAnsi="Sylfaen"/>
        </w:rPr>
        <w:t xml:space="preserve"> of international reporting mechanism administered by ECDC</w:t>
      </w:r>
      <w:r w:rsidRPr="00485780">
        <w:rPr>
          <w:rFonts w:ascii="Sylfaen" w:hAnsi="Sylfaen"/>
        </w:rPr>
        <w:t>:</w:t>
      </w:r>
    </w:p>
    <w:p w:rsidR="008B4F70" w:rsidRPr="00485780" w:rsidRDefault="008B4F70" w:rsidP="00FA79A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ylfaen" w:hAnsi="Sylfaen"/>
        </w:rPr>
      </w:pPr>
      <w:r w:rsidRPr="00485780">
        <w:rPr>
          <w:rFonts w:ascii="Sylfaen" w:hAnsi="Sylfaen"/>
        </w:rPr>
        <w:t xml:space="preserve">Epidemiological Information System for Food and Waterborne Diseases and </w:t>
      </w:r>
      <w:proofErr w:type="spellStart"/>
      <w:r w:rsidRPr="00485780">
        <w:rPr>
          <w:rFonts w:ascii="Sylfaen" w:hAnsi="Sylfaen"/>
        </w:rPr>
        <w:t>Zoonoses</w:t>
      </w:r>
      <w:proofErr w:type="spellEnd"/>
      <w:r w:rsidRPr="00485780">
        <w:rPr>
          <w:rFonts w:ascii="Sylfaen" w:hAnsi="Sylfaen"/>
        </w:rPr>
        <w:t xml:space="preserve"> (EPIS-FWD - which facilitates the early detection of food and waterborne diseases, unusual or dangerous infections, and the assessment of cluster molecular types between countries. </w:t>
      </w:r>
    </w:p>
    <w:p w:rsidR="00331CA7" w:rsidRPr="00485780" w:rsidRDefault="008B4F70" w:rsidP="00FA79A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ylfaen" w:hAnsi="Sylfaen"/>
        </w:rPr>
      </w:pPr>
      <w:r w:rsidRPr="00485780">
        <w:rPr>
          <w:rFonts w:ascii="Sylfaen" w:hAnsi="Sylfaen"/>
        </w:rPr>
        <w:t xml:space="preserve">The National Center for Disease Control and Public Health has been a contact person since 2017 as an observer involved in a </w:t>
      </w:r>
      <w:r w:rsidRPr="00485780">
        <w:rPr>
          <w:rFonts w:ascii="Sylfaen" w:hAnsi="Sylfaen"/>
          <w:lang w:val="ka-GE"/>
        </w:rPr>
        <w:t>Threat Detection Platform</w:t>
      </w:r>
      <w:r w:rsidRPr="00485780">
        <w:rPr>
          <w:rFonts w:ascii="Sylfaen" w:hAnsi="Sylfaen"/>
        </w:rPr>
        <w:t xml:space="preserve">. Once involved, </w:t>
      </w:r>
      <w:r w:rsidR="00E32731" w:rsidRPr="00485780">
        <w:rPr>
          <w:rFonts w:ascii="Sylfaen" w:hAnsi="Sylfaen"/>
        </w:rPr>
        <w:t>NCDC</w:t>
      </w:r>
      <w:r w:rsidRPr="00485780">
        <w:rPr>
          <w:rFonts w:ascii="Sylfaen" w:hAnsi="Sylfaen"/>
        </w:rPr>
        <w:t xml:space="preserve"> receives a report from the ECDC on the dangers of communicable diseases</w:t>
      </w:r>
    </w:p>
    <w:p w:rsidR="00E32731" w:rsidRPr="00485780" w:rsidRDefault="00E32731" w:rsidP="00FA79A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ylfaen" w:hAnsi="Sylfaen"/>
        </w:rPr>
      </w:pPr>
      <w:r w:rsidRPr="00485780">
        <w:rPr>
          <w:rFonts w:ascii="Sylfaen" w:hAnsi="Sylfaen"/>
          <w:lang w:val="ka-GE"/>
        </w:rPr>
        <w:t>TESS</w:t>
      </w:r>
      <w:r w:rsidRPr="00485780">
        <w:rPr>
          <w:rFonts w:ascii="Sylfaen" w:hAnsi="Sylfaen"/>
        </w:rPr>
        <w:t>y</w:t>
      </w:r>
      <w:r w:rsidRPr="00485780">
        <w:rPr>
          <w:rFonts w:ascii="Sylfaen" w:hAnsi="Sylfaen"/>
          <w:lang w:val="ka-GE"/>
        </w:rPr>
        <w:t xml:space="preserve"> - The European Surveillance System</w:t>
      </w:r>
      <w:r w:rsidRPr="00485780">
        <w:rPr>
          <w:rFonts w:ascii="Sylfaen" w:hAnsi="Sylfaen"/>
        </w:rPr>
        <w:t xml:space="preserve">, where Georgia submits data on communicable diseases. The system generates data for influenza-like diseases (ILI), acute respiratory disease (SARI) (seasonally - weekly, and off-season - once every 2 weeks). </w:t>
      </w:r>
    </w:p>
    <w:p w:rsidR="00E32731" w:rsidRPr="00485780" w:rsidRDefault="00E32731" w:rsidP="00FA79A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ylfaen" w:hAnsi="Sylfaen"/>
        </w:rPr>
      </w:pPr>
      <w:r w:rsidRPr="00485780">
        <w:rPr>
          <w:rFonts w:ascii="Sylfaen" w:hAnsi="Sylfaen"/>
        </w:rPr>
        <w:t>The same system enters data / notifications on HIV / AIDS cases from the Scientific-Practical Center for Infectious Diseases, AIDS and Clinical Immunology, and about TB – from the National Center for Tuberculosis and Lung Diseases. Since 2021In this system has been reporting COVID-19 cases, and vaccination data is also planned to be reported.</w:t>
      </w:r>
    </w:p>
    <w:p w:rsidR="00E32731" w:rsidRPr="00485780" w:rsidRDefault="00666F63" w:rsidP="00FA79AC">
      <w:pPr>
        <w:pStyle w:val="Default"/>
        <w:jc w:val="both"/>
        <w:rPr>
          <w:rFonts w:ascii="Sylfaen" w:hAnsi="Sylfaen"/>
          <w:sz w:val="22"/>
          <w:szCs w:val="22"/>
        </w:rPr>
      </w:pPr>
      <w:r w:rsidRPr="00485780">
        <w:rPr>
          <w:rFonts w:ascii="Sylfaen" w:hAnsi="Sylfaen"/>
          <w:sz w:val="22"/>
          <w:szCs w:val="22"/>
        </w:rPr>
        <w:t xml:space="preserve">Cooperation with ECDC is expanding. Within the framework of the Association Agreement between Georgia and the European Union, the European Commission/ ECDC conducted an assessment of the </w:t>
      </w:r>
      <w:r w:rsidR="00FA79AC" w:rsidRPr="00485780">
        <w:rPr>
          <w:rFonts w:ascii="Sylfaen" w:hAnsi="Sylfaen"/>
          <w:sz w:val="22"/>
          <w:szCs w:val="22"/>
        </w:rPr>
        <w:t xml:space="preserve">country’s capacities in prevention and control of the </w:t>
      </w:r>
      <w:r w:rsidRPr="00485780">
        <w:rPr>
          <w:rFonts w:ascii="Sylfaen" w:hAnsi="Sylfaen"/>
          <w:sz w:val="22"/>
          <w:szCs w:val="22"/>
        </w:rPr>
        <w:t>communicable disease</w:t>
      </w:r>
      <w:r w:rsidR="00FA79AC" w:rsidRPr="00485780">
        <w:rPr>
          <w:rFonts w:ascii="Sylfaen" w:hAnsi="Sylfaen"/>
          <w:sz w:val="22"/>
          <w:szCs w:val="22"/>
        </w:rPr>
        <w:t>s</w:t>
      </w:r>
      <w:r w:rsidRPr="00485780">
        <w:rPr>
          <w:rFonts w:ascii="Sylfaen" w:hAnsi="Sylfaen"/>
          <w:sz w:val="22"/>
          <w:szCs w:val="22"/>
        </w:rPr>
        <w:t xml:space="preserve"> on 11-11 November 2019, preceded by two preparatory activities. </w:t>
      </w:r>
    </w:p>
    <w:p w:rsidR="00996FF0" w:rsidRPr="00485780" w:rsidRDefault="00996FF0" w:rsidP="00FA79AC">
      <w:pPr>
        <w:pStyle w:val="Default"/>
        <w:jc w:val="both"/>
        <w:rPr>
          <w:rFonts w:ascii="Sylfaen" w:hAnsi="Sylfaen"/>
          <w:sz w:val="22"/>
          <w:szCs w:val="22"/>
        </w:rPr>
      </w:pPr>
    </w:p>
    <w:p w:rsidR="00996FF0" w:rsidRPr="00485780" w:rsidRDefault="00996FF0" w:rsidP="00FA79AC">
      <w:pPr>
        <w:pStyle w:val="Default"/>
        <w:jc w:val="both"/>
        <w:rPr>
          <w:rFonts w:ascii="Sylfaen" w:hAnsi="Sylfaen"/>
          <w:sz w:val="22"/>
          <w:szCs w:val="22"/>
        </w:rPr>
      </w:pPr>
      <w:r w:rsidRPr="00485780">
        <w:rPr>
          <w:rFonts w:ascii="Sylfaen" w:hAnsi="Sylfaen"/>
          <w:b/>
          <w:sz w:val="22"/>
          <w:szCs w:val="22"/>
        </w:rPr>
        <w:t>Future cooperation ideas with</w:t>
      </w:r>
      <w:r w:rsidRPr="00485780">
        <w:rPr>
          <w:rFonts w:ascii="Sylfaen" w:hAnsi="Sylfaen"/>
          <w:sz w:val="22"/>
          <w:szCs w:val="22"/>
        </w:rPr>
        <w:t xml:space="preserve"> </w:t>
      </w:r>
      <w:r w:rsidRPr="00485780">
        <w:rPr>
          <w:rFonts w:ascii="Sylfaen" w:hAnsi="Sylfaen" w:cs="Arial"/>
          <w:b/>
          <w:bCs/>
          <w:color w:val="auto"/>
          <w:sz w:val="22"/>
          <w:szCs w:val="22"/>
          <w:shd w:val="clear" w:color="auto" w:fill="FFFFFF"/>
        </w:rPr>
        <w:t>DG SANTE</w:t>
      </w:r>
    </w:p>
    <w:p w:rsidR="00996FF0" w:rsidRPr="00485780" w:rsidRDefault="00996FF0" w:rsidP="001A5B2F">
      <w:pPr>
        <w:pStyle w:val="Default"/>
        <w:numPr>
          <w:ilvl w:val="0"/>
          <w:numId w:val="5"/>
        </w:numPr>
        <w:jc w:val="both"/>
        <w:rPr>
          <w:rFonts w:ascii="Sylfaen" w:hAnsi="Sylfaen"/>
          <w:sz w:val="22"/>
          <w:szCs w:val="22"/>
        </w:rPr>
      </w:pPr>
      <w:r w:rsidRPr="00485780">
        <w:rPr>
          <w:rFonts w:ascii="Sylfaen" w:hAnsi="Sylfaen"/>
          <w:sz w:val="22"/>
          <w:szCs w:val="22"/>
        </w:rPr>
        <w:t xml:space="preserve">Enhancing cooperation with </w:t>
      </w:r>
      <w:r w:rsidRPr="00485780">
        <w:rPr>
          <w:rFonts w:ascii="Sylfaen" w:hAnsi="Sylfaen" w:cs="Arial"/>
          <w:bCs/>
          <w:color w:val="auto"/>
          <w:sz w:val="22"/>
          <w:szCs w:val="22"/>
          <w:shd w:val="clear" w:color="auto" w:fill="FFFFFF"/>
        </w:rPr>
        <w:t>DG SANTE on epidemiological surveillance</w:t>
      </w:r>
      <w:r w:rsidR="00485780">
        <w:rPr>
          <w:rFonts w:ascii="Sylfaen" w:hAnsi="Sylfaen" w:cs="Arial"/>
          <w:bCs/>
          <w:color w:val="auto"/>
          <w:sz w:val="22"/>
          <w:szCs w:val="22"/>
          <w:shd w:val="clear" w:color="auto" w:fill="FFFFFF"/>
        </w:rPr>
        <w:t xml:space="preserve"> and control</w:t>
      </w:r>
      <w:r w:rsidRPr="00485780">
        <w:rPr>
          <w:rFonts w:ascii="Sylfaen" w:hAnsi="Sylfaen" w:cs="Arial"/>
          <w:bCs/>
          <w:color w:val="auto"/>
          <w:sz w:val="22"/>
          <w:szCs w:val="22"/>
          <w:shd w:val="clear" w:color="auto" w:fill="FFFFFF"/>
        </w:rPr>
        <w:t xml:space="preserve"> of communicable and non-communicable diseases</w:t>
      </w:r>
    </w:p>
    <w:p w:rsidR="00996FF0" w:rsidRPr="00485780" w:rsidRDefault="00996FF0" w:rsidP="001A5B2F">
      <w:pPr>
        <w:pStyle w:val="Default"/>
        <w:numPr>
          <w:ilvl w:val="0"/>
          <w:numId w:val="5"/>
        </w:numPr>
        <w:jc w:val="both"/>
        <w:rPr>
          <w:rFonts w:ascii="Sylfaen" w:hAnsi="Sylfaen"/>
          <w:sz w:val="22"/>
          <w:szCs w:val="22"/>
        </w:rPr>
      </w:pPr>
      <w:r w:rsidRPr="00485780">
        <w:rPr>
          <w:rFonts w:ascii="Sylfaen" w:hAnsi="Sylfaen"/>
          <w:sz w:val="22"/>
          <w:szCs w:val="22"/>
        </w:rPr>
        <w:t xml:space="preserve">Enhancing cooperation in preparedness and response to public health risks and  serious threats </w:t>
      </w:r>
    </w:p>
    <w:p w:rsidR="00996FF0" w:rsidRDefault="00996FF0" w:rsidP="00996FF0">
      <w:pPr>
        <w:pStyle w:val="Default"/>
        <w:numPr>
          <w:ilvl w:val="0"/>
          <w:numId w:val="5"/>
        </w:numPr>
        <w:jc w:val="both"/>
        <w:rPr>
          <w:rFonts w:ascii="Sylfaen" w:hAnsi="Sylfaen"/>
          <w:sz w:val="22"/>
          <w:szCs w:val="22"/>
        </w:rPr>
      </w:pPr>
      <w:r w:rsidRPr="00485780">
        <w:rPr>
          <w:rFonts w:ascii="Sylfaen" w:hAnsi="Sylfaen"/>
          <w:sz w:val="22"/>
          <w:szCs w:val="22"/>
        </w:rPr>
        <w:t>Discuss opportunities for collaboration in environmental health issues, digital health and other areas of public health</w:t>
      </w:r>
    </w:p>
    <w:p w:rsidR="00B35567" w:rsidRDefault="00B35567" w:rsidP="00B35567">
      <w:pPr>
        <w:pStyle w:val="Default"/>
        <w:jc w:val="both"/>
        <w:rPr>
          <w:rFonts w:ascii="Sylfaen" w:hAnsi="Sylfaen"/>
          <w:sz w:val="22"/>
          <w:szCs w:val="22"/>
        </w:rPr>
      </w:pPr>
    </w:p>
    <w:p w:rsidR="00BA5960" w:rsidRPr="00BA5960" w:rsidRDefault="00BA5960" w:rsidP="00BA5960">
      <w:pPr>
        <w:pStyle w:val="Default"/>
        <w:jc w:val="both"/>
        <w:rPr>
          <w:rFonts w:ascii="Sylfaen" w:hAnsi="Sylfaen"/>
          <w:b/>
          <w:sz w:val="22"/>
          <w:szCs w:val="22"/>
        </w:rPr>
      </w:pPr>
      <w:r w:rsidRPr="00BA5960">
        <w:rPr>
          <w:rFonts w:ascii="Sylfaen" w:hAnsi="Sylfaen"/>
          <w:b/>
          <w:sz w:val="22"/>
          <w:szCs w:val="22"/>
        </w:rPr>
        <w:t>EU Funded Project in Health</w:t>
      </w:r>
    </w:p>
    <w:p w:rsidR="00BA5960" w:rsidRDefault="00BA5960" w:rsidP="00BA5960">
      <w:pPr>
        <w:pStyle w:val="Default"/>
        <w:ind w:left="720"/>
        <w:jc w:val="both"/>
        <w:rPr>
          <w:rFonts w:ascii="Sylfaen" w:hAnsi="Sylfaen"/>
          <w:sz w:val="22"/>
          <w:szCs w:val="22"/>
        </w:rPr>
      </w:pPr>
    </w:p>
    <w:p w:rsidR="00BA5960" w:rsidRPr="00BA5960" w:rsidRDefault="00BA5960" w:rsidP="00BA5960">
      <w:pPr>
        <w:pStyle w:val="Default"/>
        <w:numPr>
          <w:ilvl w:val="0"/>
          <w:numId w:val="5"/>
        </w:numPr>
        <w:jc w:val="both"/>
        <w:rPr>
          <w:rFonts w:ascii="Sylfaen" w:hAnsi="Sylfaen"/>
          <w:sz w:val="22"/>
          <w:szCs w:val="22"/>
        </w:rPr>
      </w:pPr>
      <w:r w:rsidRPr="00BA5960">
        <w:rPr>
          <w:rFonts w:ascii="Sylfaen" w:hAnsi="Sylfaen"/>
          <w:sz w:val="22"/>
          <w:szCs w:val="22"/>
        </w:rPr>
        <w:t>W</w:t>
      </w:r>
      <w:r w:rsidRPr="00BA5960">
        <w:rPr>
          <w:rFonts w:ascii="Sylfaen" w:hAnsi="Sylfaen"/>
          <w:sz w:val="22"/>
          <w:szCs w:val="22"/>
        </w:rPr>
        <w:t>ith financial support of the European Union 3-ye</w:t>
      </w:r>
      <w:r w:rsidRPr="00BA5960">
        <w:rPr>
          <w:rFonts w:ascii="Sylfaen" w:hAnsi="Sylfaen"/>
          <w:sz w:val="22"/>
          <w:szCs w:val="22"/>
        </w:rPr>
        <w:t xml:space="preserve">ar project: Minimizing the Impact of Covid-19 Outbreak in Georgia through Telemedicine and Digital Health </w:t>
      </w:r>
      <w:r w:rsidRPr="00BA5960">
        <w:rPr>
          <w:rFonts w:ascii="Sylfaen" w:hAnsi="Sylfaen"/>
          <w:sz w:val="22"/>
          <w:szCs w:val="22"/>
        </w:rPr>
        <w:t>will be implemented, which will significantly improve health service delivery in rural and underserved communities by using telemedicine</w:t>
      </w:r>
      <w:r w:rsidRPr="00BA5960">
        <w:rPr>
          <w:rFonts w:ascii="Sylfaen" w:hAnsi="Sylfaen"/>
          <w:sz w:val="22"/>
          <w:szCs w:val="22"/>
        </w:rPr>
        <w:t xml:space="preserve">. </w:t>
      </w:r>
      <w:r w:rsidRPr="00BA5960">
        <w:rPr>
          <w:rFonts w:ascii="Sylfaen" w:hAnsi="Sylfaen"/>
          <w:sz w:val="22"/>
          <w:szCs w:val="22"/>
        </w:rPr>
        <w:t>EU project approval procedures are currently underway</w:t>
      </w:r>
      <w:r w:rsidRPr="00BA5960">
        <w:rPr>
          <w:rFonts w:ascii="Sylfaen" w:hAnsi="Sylfaen"/>
          <w:sz w:val="22"/>
          <w:szCs w:val="22"/>
        </w:rPr>
        <w:t xml:space="preserve">. The program budget amount to </w:t>
      </w:r>
      <w:r w:rsidRPr="00BA5960">
        <w:rPr>
          <w:rFonts w:ascii="Sylfaen" w:hAnsi="Sylfaen"/>
          <w:sz w:val="22"/>
          <w:szCs w:val="22"/>
        </w:rPr>
        <w:t>4.5 million Euro.</w:t>
      </w:r>
    </w:p>
    <w:p w:rsidR="00BA5960" w:rsidRPr="00BA5960" w:rsidRDefault="00BA5960" w:rsidP="00B35567">
      <w:pPr>
        <w:pStyle w:val="Default"/>
        <w:jc w:val="both"/>
        <w:rPr>
          <w:rFonts w:ascii="Sylfaen" w:hAnsi="Sylfaen"/>
          <w:sz w:val="22"/>
          <w:szCs w:val="22"/>
          <w:lang w:val="ka-GE"/>
        </w:rPr>
      </w:pPr>
    </w:p>
    <w:p w:rsidR="00BA5960" w:rsidRDefault="00BA5960" w:rsidP="00B35567">
      <w:pPr>
        <w:pStyle w:val="Default"/>
        <w:jc w:val="both"/>
        <w:rPr>
          <w:rFonts w:ascii="Sylfaen" w:hAnsi="Sylfaen"/>
          <w:sz w:val="22"/>
          <w:szCs w:val="22"/>
        </w:rPr>
      </w:pPr>
    </w:p>
    <w:p w:rsidR="00B35567" w:rsidRPr="00BA5960" w:rsidRDefault="00BA5960" w:rsidP="00B35567">
      <w:pPr>
        <w:pStyle w:val="Default"/>
        <w:jc w:val="both"/>
        <w:rPr>
          <w:rFonts w:ascii="Sylfaen" w:hAnsi="Sylfaen"/>
          <w:b/>
          <w:sz w:val="22"/>
          <w:szCs w:val="22"/>
        </w:rPr>
      </w:pPr>
      <w:r w:rsidRPr="00BA5960">
        <w:rPr>
          <w:rFonts w:ascii="Sylfaen" w:hAnsi="Sylfaen"/>
          <w:b/>
          <w:sz w:val="22"/>
          <w:szCs w:val="22"/>
        </w:rPr>
        <w:t>Talking points</w:t>
      </w:r>
      <w:r w:rsidR="00B35567" w:rsidRPr="00BA5960">
        <w:rPr>
          <w:rFonts w:ascii="Sylfaen" w:hAnsi="Sylfaen"/>
          <w:b/>
          <w:sz w:val="22"/>
          <w:szCs w:val="22"/>
        </w:rPr>
        <w:t xml:space="preserve"> on Covid-19 </w:t>
      </w:r>
      <w:r>
        <w:rPr>
          <w:rFonts w:ascii="Sylfaen" w:hAnsi="Sylfaen"/>
          <w:b/>
          <w:sz w:val="22"/>
          <w:szCs w:val="22"/>
        </w:rPr>
        <w:t xml:space="preserve">response and </w:t>
      </w:r>
      <w:r w:rsidR="00B35567" w:rsidRPr="00BA5960">
        <w:rPr>
          <w:rFonts w:ascii="Sylfaen" w:hAnsi="Sylfaen"/>
          <w:b/>
          <w:sz w:val="22"/>
          <w:szCs w:val="22"/>
        </w:rPr>
        <w:t>vaccination program in Georgia</w:t>
      </w:r>
    </w:p>
    <w:p w:rsidR="00B35567" w:rsidRDefault="00B35567" w:rsidP="00B35567">
      <w:pPr>
        <w:pStyle w:val="Default"/>
        <w:jc w:val="both"/>
        <w:rPr>
          <w:rFonts w:ascii="Sylfaen" w:hAnsi="Sylfaen"/>
          <w:sz w:val="22"/>
          <w:szCs w:val="22"/>
        </w:rPr>
      </w:pPr>
    </w:p>
    <w:p w:rsidR="00B35567" w:rsidRPr="00835345" w:rsidRDefault="00B35567" w:rsidP="00B3556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835345">
        <w:rPr>
          <w:rFonts w:ascii="Sylfaen" w:hAnsi="Sylfaen"/>
        </w:rPr>
        <w:t>In response to the growing prevalence of the Covid-19 pandemic, the Georgian government took significant steps with support of the donor organizations and financial institutions to scale up emergency response in all areas.</w:t>
      </w:r>
    </w:p>
    <w:p w:rsidR="00B35567" w:rsidRPr="00835345" w:rsidRDefault="00B35567" w:rsidP="00B3556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835345">
        <w:rPr>
          <w:rFonts w:ascii="Sylfaen" w:hAnsi="Sylfaen"/>
        </w:rPr>
        <w:t xml:space="preserve">We express special gratitude to the </w:t>
      </w:r>
      <w:r>
        <w:rPr>
          <w:rFonts w:ascii="Sylfaen" w:hAnsi="Sylfaen"/>
        </w:rPr>
        <w:t>European Union</w:t>
      </w:r>
      <w:r w:rsidRPr="00835345">
        <w:rPr>
          <w:rFonts w:ascii="Sylfaen" w:hAnsi="Sylfaen"/>
        </w:rPr>
        <w:t xml:space="preserve"> for their dedicated efforts and continued support rendered to Georgia to minimize the impact of coronavirus on the communities and health system of Georgia.  </w:t>
      </w:r>
    </w:p>
    <w:p w:rsidR="00B35567" w:rsidRPr="00835345" w:rsidRDefault="00B35567" w:rsidP="00B3556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835345">
        <w:rPr>
          <w:rFonts w:ascii="Sylfaen" w:hAnsi="Sylfaen"/>
        </w:rPr>
        <w:t>With financial support of the European Union, the WHO country office provided the Ministry of Health with significant amount of the medical supply</w:t>
      </w:r>
      <w:r>
        <w:rPr>
          <w:rFonts w:ascii="Sylfaen" w:hAnsi="Sylfaen"/>
        </w:rPr>
        <w:t xml:space="preserve"> (including 20 ventilators, 29 Oxygen Concentrators)</w:t>
      </w:r>
      <w:r w:rsidRPr="00835345">
        <w:rPr>
          <w:rFonts w:ascii="Sylfaen" w:hAnsi="Sylfaen"/>
        </w:rPr>
        <w:t xml:space="preserve"> an</w:t>
      </w:r>
      <w:r>
        <w:rPr>
          <w:rFonts w:ascii="Sylfaen" w:hAnsi="Sylfaen"/>
        </w:rPr>
        <w:t>d personal protective equipment</w:t>
      </w:r>
      <w:r w:rsidRPr="00835345">
        <w:rPr>
          <w:rFonts w:ascii="Sylfaen" w:hAnsi="Sylfaen"/>
        </w:rPr>
        <w:t xml:space="preserve">. </w:t>
      </w:r>
    </w:p>
    <w:p w:rsidR="00B35567" w:rsidRDefault="00B35567" w:rsidP="00B35567">
      <w:pPr>
        <w:pStyle w:val="ListParagraph"/>
        <w:numPr>
          <w:ilvl w:val="0"/>
          <w:numId w:val="7"/>
        </w:numPr>
        <w:spacing w:line="252" w:lineRule="auto"/>
        <w:jc w:val="both"/>
        <w:rPr>
          <w:rFonts w:ascii="Sylfaen" w:hAnsi="Sylfaen"/>
        </w:rPr>
      </w:pPr>
      <w:r>
        <w:rPr>
          <w:rFonts w:ascii="Sylfaen" w:hAnsi="Sylfaen"/>
        </w:rPr>
        <w:t>In order to minimize devastating consequences of the pandemic, save lives and avoid economic loss the Government of Georgia has implemented a complex COVID response program, which allowed us to successfully stabilize second wave of the epidemic.</w:t>
      </w:r>
    </w:p>
    <w:p w:rsidR="00B35567" w:rsidRPr="00835345" w:rsidRDefault="00B35567" w:rsidP="00B35567">
      <w:pPr>
        <w:pStyle w:val="ListParagraph"/>
        <w:numPr>
          <w:ilvl w:val="0"/>
          <w:numId w:val="7"/>
        </w:numPr>
        <w:spacing w:line="252" w:lineRule="auto"/>
        <w:jc w:val="both"/>
        <w:rPr>
          <w:rFonts w:ascii="Sylfaen" w:hAnsi="Sylfaen"/>
        </w:rPr>
      </w:pPr>
      <w:r w:rsidRPr="00835345">
        <w:rPr>
          <w:rFonts w:ascii="Sylfaen" w:hAnsi="Sylfaen"/>
        </w:rPr>
        <w:t>Country’s COVID-19 measures, including management of COVID-19-infected patients with mild symptoms at “</w:t>
      </w:r>
      <w:proofErr w:type="spellStart"/>
      <w:r w:rsidRPr="00835345">
        <w:rPr>
          <w:rFonts w:ascii="Sylfaen" w:hAnsi="Sylfaen"/>
        </w:rPr>
        <w:t>Covid</w:t>
      </w:r>
      <w:proofErr w:type="spellEnd"/>
      <w:r w:rsidRPr="00835345">
        <w:rPr>
          <w:rFonts w:ascii="Sylfaen" w:hAnsi="Sylfaen"/>
        </w:rPr>
        <w:t xml:space="preserve"> Hotels” and ensure monitoring and assessment of Covid-19 patients remotely from the </w:t>
      </w:r>
      <w:hyperlink r:id="rId5" w:tgtFrame="_blank" w:history="1">
        <w:r w:rsidRPr="00835345">
          <w:rPr>
            <w:rFonts w:ascii="Sylfaen" w:hAnsi="Sylfaen"/>
          </w:rPr>
          <w:t>Central Online Clinic</w:t>
        </w:r>
      </w:hyperlink>
      <w:r w:rsidRPr="00835345">
        <w:rPr>
          <w:rFonts w:ascii="Sylfaen" w:hAnsi="Sylfaen"/>
        </w:rPr>
        <w:t xml:space="preserve"> are significant mechanism</w:t>
      </w:r>
      <w:r>
        <w:rPr>
          <w:rFonts w:ascii="Sylfaen" w:hAnsi="Sylfaen"/>
        </w:rPr>
        <w:t>s</w:t>
      </w:r>
      <w:r w:rsidRPr="00835345">
        <w:rPr>
          <w:rFonts w:ascii="Sylfaen" w:hAnsi="Sylfaen"/>
        </w:rPr>
        <w:t xml:space="preserve"> to minimize the rate of hospitalization and consequently, efficiently respond to the pandemic.</w:t>
      </w:r>
    </w:p>
    <w:p w:rsidR="00B35567" w:rsidRDefault="00B35567" w:rsidP="00B35567">
      <w:pPr>
        <w:pStyle w:val="ListParagraph"/>
        <w:numPr>
          <w:ilvl w:val="0"/>
          <w:numId w:val="7"/>
        </w:numPr>
        <w:spacing w:line="252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These days when the COVID 19 vaccines become available, the Government of Georgia took all possible steps and launched the vaccination program in Q1 of 2021. </w:t>
      </w:r>
    </w:p>
    <w:p w:rsidR="00B35567" w:rsidRDefault="00B35567" w:rsidP="00B35567">
      <w:pPr>
        <w:pStyle w:val="ListParagraph"/>
        <w:numPr>
          <w:ilvl w:val="0"/>
          <w:numId w:val="7"/>
        </w:numPr>
        <w:spacing w:line="252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Georgia has joined the COVAX Facility and made initial payment for securing 1.4 </w:t>
      </w:r>
      <w:proofErr w:type="spellStart"/>
      <w:r>
        <w:rPr>
          <w:rFonts w:ascii="Sylfaen" w:hAnsi="Sylfaen"/>
        </w:rPr>
        <w:t>mln</w:t>
      </w:r>
      <w:proofErr w:type="spellEnd"/>
      <w:r>
        <w:rPr>
          <w:rFonts w:ascii="Sylfaen" w:hAnsi="Sylfaen"/>
        </w:rPr>
        <w:t xml:space="preserve"> doses of vaccines for 20% of the country population, which is a critical component to reduce COVID-19 related illnesses, hospitalizations and deaths however, to guarantee required coverage of the population based on national vaccine roll-out plan, we require additional 2 500 000 doses of </w:t>
      </w:r>
      <w:proofErr w:type="spellStart"/>
      <w:r>
        <w:rPr>
          <w:rFonts w:ascii="Sylfaen" w:hAnsi="Sylfaen"/>
        </w:rPr>
        <w:t>Covid</w:t>
      </w:r>
      <w:proofErr w:type="spellEnd"/>
      <w:r>
        <w:rPr>
          <w:rFonts w:ascii="Sylfaen" w:hAnsi="Sylfaen"/>
        </w:rPr>
        <w:t xml:space="preserve"> vaccine. </w:t>
      </w:r>
    </w:p>
    <w:p w:rsidR="00B35567" w:rsidRPr="00C43636" w:rsidRDefault="00B35567" w:rsidP="00B35567">
      <w:pPr>
        <w:pStyle w:val="ListParagraph"/>
        <w:numPr>
          <w:ilvl w:val="0"/>
          <w:numId w:val="7"/>
        </w:numPr>
        <w:spacing w:line="252" w:lineRule="auto"/>
        <w:jc w:val="both"/>
        <w:rPr>
          <w:rFonts w:ascii="Sylfaen" w:hAnsi="Sylfaen"/>
        </w:rPr>
      </w:pPr>
      <w:r w:rsidRPr="00C43636">
        <w:rPr>
          <w:rFonts w:ascii="Sylfaen" w:hAnsi="Sylfaen"/>
        </w:rPr>
        <w:t>For the time being, after intensive collaboration with COVAX facility country managed to mobilize some amount of AstraZeneca and Pfizer vaccines in Q1 of 2021.</w:t>
      </w:r>
      <w:r w:rsidRPr="00C43636">
        <w:rPr>
          <w:color w:val="1F497D"/>
        </w:rPr>
        <w:t xml:space="preserve"> </w:t>
      </w:r>
      <w:r w:rsidRPr="00C43636">
        <w:rPr>
          <w:rFonts w:ascii="Sylfaen" w:hAnsi="Sylfaen"/>
        </w:rPr>
        <w:t xml:space="preserve">Via COVAX- 43200 of AZ doses were delivered on March 13th; 29250 Pfizer doses </w:t>
      </w:r>
      <w:r w:rsidR="0005185D">
        <w:rPr>
          <w:rFonts w:ascii="Sylfaen" w:hAnsi="Sylfaen"/>
        </w:rPr>
        <w:t xml:space="preserve">will be </w:t>
      </w:r>
      <w:r w:rsidR="0005185D" w:rsidRPr="0005185D">
        <w:rPr>
          <w:rFonts w:ascii="Sylfaen" w:hAnsi="Sylfaen"/>
        </w:rPr>
        <w:t xml:space="preserve">delivered before the end of </w:t>
      </w:r>
      <w:r w:rsidR="0005185D">
        <w:rPr>
          <w:rFonts w:ascii="Sylfaen" w:hAnsi="Sylfaen"/>
        </w:rPr>
        <w:t>March</w:t>
      </w:r>
      <w:r w:rsidR="00D530C0">
        <w:rPr>
          <w:rFonts w:ascii="Sylfaen" w:hAnsi="Sylfaen"/>
        </w:rPr>
        <w:t>.</w:t>
      </w:r>
      <w:bookmarkStart w:id="0" w:name="_GoBack"/>
      <w:bookmarkEnd w:id="0"/>
    </w:p>
    <w:p w:rsidR="00BA5960" w:rsidRPr="00BA5960" w:rsidRDefault="00B35567" w:rsidP="00FE103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BA5960">
        <w:rPr>
          <w:rFonts w:ascii="Sylfaen" w:hAnsi="Sylfaen"/>
        </w:rPr>
        <w:t xml:space="preserve">In parallel, we are actively working with our partner countries as well as vaccine manufacturing companies to obtain additional doses of vaccine to Georgia as soon as possible. </w:t>
      </w:r>
      <w:r w:rsidRPr="0005185D">
        <w:rPr>
          <w:rFonts w:ascii="Sylfaen" w:hAnsi="Sylfaen"/>
        </w:rPr>
        <w:t xml:space="preserve">However, we would much appreciate facilitation and assistance of the </w:t>
      </w:r>
      <w:r w:rsidR="00BA5960" w:rsidRPr="0005185D">
        <w:rPr>
          <w:rFonts w:ascii="Sylfaen" w:hAnsi="Sylfaen"/>
        </w:rPr>
        <w:t xml:space="preserve">European Commission </w:t>
      </w:r>
      <w:r w:rsidR="00BA5960" w:rsidRPr="0005185D">
        <w:rPr>
          <w:rFonts w:ascii="Sylfaen" w:hAnsi="Sylfaen"/>
        </w:rPr>
        <w:lastRenderedPageBreak/>
        <w:t>in</w:t>
      </w:r>
      <w:r w:rsidR="00BA5960" w:rsidRPr="0005185D">
        <w:rPr>
          <w:rFonts w:ascii="Sylfaen" w:hAnsi="Sylfaen"/>
        </w:rPr>
        <w:t xml:space="preserve"> </w:t>
      </w:r>
      <w:r w:rsidR="00BA5960" w:rsidRPr="0005185D">
        <w:rPr>
          <w:rFonts w:ascii="Sylfaen" w:hAnsi="Sylfaen"/>
        </w:rPr>
        <w:t xml:space="preserve">negotiations with EU member states on </w:t>
      </w:r>
      <w:r w:rsidR="00BA5960" w:rsidRPr="0005185D">
        <w:rPr>
          <w:rFonts w:ascii="Sylfaen" w:hAnsi="Sylfaen"/>
        </w:rPr>
        <w:t xml:space="preserve">sharing surplus COVID19 vaccines that </w:t>
      </w:r>
      <w:r w:rsidR="00BA5960" w:rsidRPr="0005185D">
        <w:rPr>
          <w:rFonts w:ascii="Sylfaen" w:hAnsi="Sylfaen"/>
        </w:rPr>
        <w:t>they</w:t>
      </w:r>
      <w:r w:rsidR="00BA5960" w:rsidRPr="0005185D">
        <w:rPr>
          <w:rFonts w:ascii="Sylfaen" w:hAnsi="Sylfaen"/>
        </w:rPr>
        <w:t xml:space="preserve"> may have secured</w:t>
      </w:r>
      <w:r w:rsidR="00BA5960" w:rsidRPr="0005185D">
        <w:rPr>
          <w:rFonts w:ascii="Sylfaen" w:hAnsi="Sylfaen"/>
        </w:rPr>
        <w:t>.</w:t>
      </w:r>
    </w:p>
    <w:p w:rsidR="00B35567" w:rsidRPr="00BA5960" w:rsidRDefault="00B35567" w:rsidP="00FE103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BA5960">
        <w:rPr>
          <w:rFonts w:ascii="Sylfaen" w:hAnsi="Sylfaen"/>
        </w:rPr>
        <w:t xml:space="preserve">Covid-19 Vaccine National Deployment Plan endorsed by the “Inter-agency Coordination Committee on Covid-19 Vaccine Implementation in Georgia” has been approved by the Decree #67 of the Government of Georgia on January 21, 2021, which stipulates the intention to manage a number of different vaccines in a national response. </w:t>
      </w:r>
    </w:p>
    <w:p w:rsidR="00BA5960" w:rsidRPr="00BA5960" w:rsidRDefault="00BA5960" w:rsidP="00BA5960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:rsidR="00B35567" w:rsidRPr="00485780" w:rsidRDefault="00B35567" w:rsidP="00B35567">
      <w:pPr>
        <w:pStyle w:val="Default"/>
        <w:jc w:val="both"/>
        <w:rPr>
          <w:rFonts w:ascii="Sylfaen" w:hAnsi="Sylfaen"/>
          <w:sz w:val="22"/>
          <w:szCs w:val="22"/>
        </w:rPr>
      </w:pPr>
    </w:p>
    <w:sectPr w:rsidR="00B35567" w:rsidRPr="00485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36C0"/>
    <w:multiLevelType w:val="hybridMultilevel"/>
    <w:tmpl w:val="62362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D411D"/>
    <w:multiLevelType w:val="hybridMultilevel"/>
    <w:tmpl w:val="64AA4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110C2"/>
    <w:multiLevelType w:val="hybridMultilevel"/>
    <w:tmpl w:val="20AA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1159F"/>
    <w:multiLevelType w:val="hybridMultilevel"/>
    <w:tmpl w:val="57524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C2FAC"/>
    <w:multiLevelType w:val="hybridMultilevel"/>
    <w:tmpl w:val="239C8EF0"/>
    <w:lvl w:ilvl="0" w:tplc="377014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F4D7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90F3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7C89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E43E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14E1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4E07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64ED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BCAD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B16D7"/>
    <w:multiLevelType w:val="hybridMultilevel"/>
    <w:tmpl w:val="B7C8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80CA2"/>
    <w:multiLevelType w:val="hybridMultilevel"/>
    <w:tmpl w:val="A762D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8628E"/>
    <w:multiLevelType w:val="hybridMultilevel"/>
    <w:tmpl w:val="72BE6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F4D7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90F3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7C89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E43E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14E1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4E07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64ED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BCAD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24C93"/>
    <w:multiLevelType w:val="hybridMultilevel"/>
    <w:tmpl w:val="D17A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70"/>
    <w:rsid w:val="0005185D"/>
    <w:rsid w:val="00331CA7"/>
    <w:rsid w:val="00354D0F"/>
    <w:rsid w:val="00485780"/>
    <w:rsid w:val="00666F63"/>
    <w:rsid w:val="00763EED"/>
    <w:rsid w:val="008B4F70"/>
    <w:rsid w:val="00996FF0"/>
    <w:rsid w:val="00B35567"/>
    <w:rsid w:val="00BA5960"/>
    <w:rsid w:val="00D530C0"/>
    <w:rsid w:val="00E32731"/>
    <w:rsid w:val="00F0292B"/>
    <w:rsid w:val="00FA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C9120"/>
  <w15:chartTrackingRefBased/>
  <w15:docId w15:val="{D8AAA6A7-905C-488C-92AC-D4E84EA2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1"/>
    <w:basedOn w:val="Normal"/>
    <w:link w:val="ListParagraphChar"/>
    <w:uiPriority w:val="34"/>
    <w:qFormat/>
    <w:rsid w:val="008B4F70"/>
    <w:pPr>
      <w:ind w:left="720"/>
      <w:contextualSpacing/>
    </w:pPr>
  </w:style>
  <w:style w:type="paragraph" w:customStyle="1" w:styleId="Default">
    <w:name w:val="Default"/>
    <w:rsid w:val="00666F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B3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268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586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415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h.gov.ge/ka/news/5522/jandacvis-saministroSi-%E2%80%9Ecentraluri-onlain-klinika%E2%80%9C-amoqmed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Kavtaradze</dc:creator>
  <cp:keywords/>
  <dc:description/>
  <cp:lastModifiedBy>Maia Nikoleishvili</cp:lastModifiedBy>
  <cp:revision>3</cp:revision>
  <dcterms:created xsi:type="dcterms:W3CDTF">2021-03-17T18:24:00Z</dcterms:created>
  <dcterms:modified xsi:type="dcterms:W3CDTF">2021-03-17T18:26:00Z</dcterms:modified>
</cp:coreProperties>
</file>